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147D">
      <w:pPr>
        <w:pStyle w:val="1"/>
      </w:pPr>
      <w:r>
        <w:rPr>
          <w:rStyle w:val="a4"/>
        </w:rPr>
        <w:t>Письмо Федеральной антимонопольной службы от 24 октября 2014 г. N АГ/43256/14</w:t>
      </w:r>
      <w:r>
        <w:rPr>
          <w:rStyle w:val="a4"/>
        </w:rPr>
        <w:br/>
        <w:t>"Рекомендации по принятию мер антимонопольного реагирования в случае взимания платы за перепрограммирова</w:t>
      </w:r>
      <w:r>
        <w:rPr>
          <w:rStyle w:val="a4"/>
        </w:rPr>
        <w:t>ние приборов учета электрической энергии"</w:t>
      </w:r>
    </w:p>
    <w:p w:rsidR="00000000" w:rsidRDefault="00DE147D"/>
    <w:p w:rsidR="00000000" w:rsidRDefault="00DE147D">
      <w:r>
        <w:t xml:space="preserve">В связи с </w:t>
      </w:r>
      <w:r>
        <w:rPr>
          <w:rStyle w:val="a4"/>
        </w:rPr>
        <w:t>вступлением в законную силу</w:t>
      </w:r>
      <w:r>
        <w:t xml:space="preserve"> Федерального закона от 21.07.2014 N </w:t>
      </w:r>
      <w:r>
        <w:t>248-ФЗ "О внесении изменений в Федеральный закон "Об исчислении времени", с 26 октября 2014 года возникает необходимость перепрограммирования приборов учета электрической энергии.</w:t>
      </w:r>
    </w:p>
    <w:p w:rsidR="00000000" w:rsidRDefault="00DE147D">
      <w:r>
        <w:t>Самые распространенные среди приборов учета электроэнергии - двухтарифные. И</w:t>
      </w:r>
      <w:r>
        <w:t>х особенность заключается в том, что они производят раздельный учет электроэнергии по дневному (высокому) и ночному (низкому) тарифам.</w:t>
      </w:r>
    </w:p>
    <w:p w:rsidR="00000000" w:rsidRDefault="00DE147D">
      <w:r>
        <w:t>До настоящего момента все двухтарифные электросчетчики были автоматически запрограммированы разделять сутки на две тарифн</w:t>
      </w:r>
      <w:r>
        <w:t>ые зоны в день - с 7.00 до 23.00 и ночь - с 23.00 до 7.00. Однако теперь, когда перевод часов отменен, счетчики учитывают электроэнергию неправильно и, следовательно, полученные данные некорректны.</w:t>
      </w:r>
    </w:p>
    <w:p w:rsidR="00000000" w:rsidRDefault="00DE147D">
      <w:r>
        <w:t>Решением данной проблемы является перепрограммирование сче</w:t>
      </w:r>
      <w:r>
        <w:t>тчиков электроэнергии.</w:t>
      </w:r>
    </w:p>
    <w:p w:rsidR="00000000" w:rsidRDefault="00DE147D">
      <w:proofErr w:type="gramStart"/>
      <w:r>
        <w:t xml:space="preserve">В соответствии с </w:t>
      </w:r>
      <w:r>
        <w:rPr>
          <w:rStyle w:val="a4"/>
        </w:rPr>
        <w:t>пунктом 70</w:t>
      </w:r>
      <w:r>
        <w:t xml:space="preserve"> Основ ценообразования в области регулируемых цен (тарифов) в электроэнергетике, утвержденных </w:t>
      </w:r>
      <w:r>
        <w:rPr>
          <w:rStyle w:val="a4"/>
        </w:rPr>
        <w:t>постановлением</w:t>
      </w:r>
      <w:r>
        <w:t xml:space="preserve"> Правительства РФ от </w:t>
      </w:r>
      <w:r>
        <w:t>29.12.2011 N 1178 (далее - Основы ценообразования), потребители самостоятельно выбирают для проведения расчетов за электрическую энергию (мощность) на розничном рынке один из вариантов цены (тарифа): одноставочный тариф или тариф, дифференцированный по зон</w:t>
      </w:r>
      <w:r>
        <w:t>ам (часам) суток (двухставочный или трехставочный).</w:t>
      </w:r>
      <w:proofErr w:type="gramEnd"/>
    </w:p>
    <w:p w:rsidR="00000000" w:rsidRDefault="00DE147D">
      <w:proofErr w:type="gramStart"/>
      <w:r>
        <w:t xml:space="preserve">Согласно </w:t>
      </w:r>
      <w:r>
        <w:rPr>
          <w:rStyle w:val="a4"/>
        </w:rPr>
        <w:t>пункту 109</w:t>
      </w:r>
      <w:r>
        <w:t xml:space="preserve"> Основных положений функционирования розничных рынков электрической энергии, утвержденных </w:t>
      </w:r>
      <w:r>
        <w:rPr>
          <w:rStyle w:val="a4"/>
        </w:rPr>
        <w:t>постановлением</w:t>
      </w:r>
      <w:r>
        <w:t xml:space="preserve"> Прави</w:t>
      </w:r>
      <w:r>
        <w:t>тельства РФ от 04.05.2012 N 442 (далее - Основные положения), если иное не установлено договором энергоснабжения (договором купли-продажи (поставки) электрической энергии), покупатели оплачивают электрическую энергию (мощность) гарантирующему поставщику по</w:t>
      </w:r>
      <w:r>
        <w:t xml:space="preserve"> тарифу,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потребителей, и свободным (нерегулируемым</w:t>
      </w:r>
      <w:proofErr w:type="gramEnd"/>
      <w:r>
        <w:t>) ценам з</w:t>
      </w:r>
      <w:proofErr w:type="gramStart"/>
      <w:r>
        <w:t>a</w:t>
      </w:r>
      <w:proofErr w:type="gramEnd"/>
      <w:r>
        <w:t xml:space="preserve"> потребленный объем электрической энергии (мощности</w:t>
      </w:r>
      <w:r>
        <w:t>).</w:t>
      </w:r>
    </w:p>
    <w:p w:rsidR="00000000" w:rsidRDefault="00DE147D">
      <w:proofErr w:type="gramStart"/>
      <w:r>
        <w:rPr>
          <w:rStyle w:val="a4"/>
        </w:rPr>
        <w:t>Пунктом 145</w:t>
      </w:r>
      <w:r>
        <w:t xml:space="preserve"> Основных положений установлено, что обязанность по обеспечению оснащения энергопринимающих устройств потребителей, объектов по производству электрической энергии (мощности) производителей электрической </w:t>
      </w:r>
      <w:r>
        <w:t xml:space="preserve">энергии (мощности) на розничных рынках, объектов электросетевого хозяйства сетевых организаций приборами учета, а также по обеспечению допуска остановленных приборов учета в эксплуатацию возлагается на собственника энергопринимающих устройств, объектов по </w:t>
      </w:r>
      <w:r>
        <w:t>производству электрической энергии мощности) и объектов электросетевого хозяйства соответственно.</w:t>
      </w:r>
      <w:proofErr w:type="gramEnd"/>
    </w:p>
    <w:p w:rsidR="00000000" w:rsidRDefault="00DE147D">
      <w:r>
        <w:t>Обязанность по обеспечению эксплуатации установленного и допущенного в эксплуатацию прибора учета, сохранности и целостности прибора учета, а также пломб и (и</w:t>
      </w:r>
      <w:r>
        <w:t>ли) знаков визуального контроля, снятию и хранению его показаний, своевременной замене, так же возлагается на собственника такого прибора учета.</w:t>
      </w:r>
    </w:p>
    <w:p w:rsidR="00000000" w:rsidRDefault="00DE147D">
      <w:r>
        <w:t xml:space="preserve">Законодательством Российской Федерации не установлена обязанность потребителя по перепрограммированию приборов </w:t>
      </w:r>
      <w:r>
        <w:t xml:space="preserve">учета электрической энергии. При </w:t>
      </w:r>
      <w:r>
        <w:lastRenderedPageBreak/>
        <w:t xml:space="preserve">этом в соответствии с </w:t>
      </w:r>
      <w:r>
        <w:rPr>
          <w:rStyle w:val="a4"/>
        </w:rPr>
        <w:t>пунктом 74</w:t>
      </w:r>
      <w:r>
        <w:t xml:space="preserve"> Основ ценообразования гарантирующий поставщик обязан обеспечить реализацию права потребителя на выбор варианта тарифа.</w:t>
      </w:r>
    </w:p>
    <w:p w:rsidR="00000000" w:rsidRDefault="00DE147D">
      <w:r>
        <w:t>Таким образом, перепрограммиро</w:t>
      </w:r>
      <w:r>
        <w:t>вание приборов учета электрической энергии должно осуществляться силами и за счет гарантирующего поставщика без взимания платы с потребителей, путем включения стоимости по перепрограммированию в тарифы.</w:t>
      </w:r>
    </w:p>
    <w:p w:rsidR="00000000" w:rsidRDefault="00DE147D">
      <w:proofErr w:type="gramStart"/>
      <w:r>
        <w:t>Указанные затраты гарантирующего поставщика на перепр</w:t>
      </w:r>
      <w:r>
        <w:t xml:space="preserve">ограммирование приборов учета могут быть рассмотрены органами государственной власти субъектов Российской Федерации в области государственного регулирования тарифов в соответствии с </w:t>
      </w:r>
      <w:r>
        <w:rPr>
          <w:rStyle w:val="a4"/>
        </w:rPr>
        <w:t>пунктом 65</w:t>
      </w:r>
      <w:r>
        <w:t xml:space="preserve"> Основ ценообразования </w:t>
      </w:r>
      <w:r>
        <w:t>в качестве экономически обоснованных расходов организации, связанных с обеспечением ее предпринимательской деятельности в качестве гарантирующего поставщика по соответствующим группам (категориям) потребителей.</w:t>
      </w:r>
      <w:proofErr w:type="gramEnd"/>
    </w:p>
    <w:p w:rsidR="00000000" w:rsidRDefault="00DE147D">
      <w:r>
        <w:t xml:space="preserve">Исходя из приведенных норм законодательства, </w:t>
      </w:r>
      <w:r>
        <w:t xml:space="preserve">действия гарантирующих поставщиков по навязыванию потребителям платы за перепрограммирование приборов учета электрической энергии, могут содержать в себе признаки нарушения </w:t>
      </w:r>
      <w:r>
        <w:rPr>
          <w:rStyle w:val="a4"/>
        </w:rPr>
        <w:t>части 1 статьи 10</w:t>
      </w:r>
      <w:r>
        <w:t xml:space="preserve"> Федерального закона от 26.</w:t>
      </w:r>
      <w:r>
        <w:t>07.2006 N 135-ФЗ "О защите конкуренции".</w:t>
      </w:r>
    </w:p>
    <w:p w:rsidR="00000000" w:rsidRDefault="00DE147D">
      <w:r>
        <w:t>Учитывая изложенное, прошу использовать данную позицию при рассмотрении территориальными органами ФАС России соответствующих заявлений.</w:t>
      </w:r>
    </w:p>
    <w:p w:rsidR="00000000" w:rsidRDefault="00DE147D">
      <w:r>
        <w:t>Дополнительно сообщаем, в качестве примера применения мер антимонопольного реаг</w:t>
      </w:r>
      <w:r>
        <w:t>ирования можно использовать информационное письмо Московского УФАС России в адрес гарантирующих поставщиков электрической анергии (электронный адрес в сети "Интернет" - http://moscow.fas.gov.ru/page/11667).</w:t>
      </w:r>
    </w:p>
    <w:p w:rsidR="00DE147D" w:rsidRDefault="00DE147D"/>
    <w:sectPr w:rsidR="00DE147D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62B"/>
    <w:rsid w:val="00CE162B"/>
    <w:rsid w:val="00DE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4087</Characters>
  <Application>Microsoft Office Word</Application>
  <DocSecurity>0</DocSecurity>
  <Lines>34</Lines>
  <Paragraphs>9</Paragraphs>
  <ScaleCrop>false</ScaleCrop>
  <Company>НПП "Гарант-Сервис"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2014-11-17T05:57:00Z</dcterms:created>
  <dcterms:modified xsi:type="dcterms:W3CDTF">2014-11-17T05:57:00Z</dcterms:modified>
</cp:coreProperties>
</file>